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193</w:t>
      </w:r>
    </w:p>
    <w:p>
      <w:r>
        <w:t>Bundesgericht (BGE), 2014-01-01, DE</w:t>
      </w:r>
    </w:p>
    <w:p>
      <w:r>
        <w:rPr>
          <w:b/>
        </w:rPr>
        <w:t xml:space="preserve">Quelle: </w:t>
      </w:r>
      <w:r>
        <w:t>https://mcp.opencaselaw.ch/entscheid/bge_140 III 193</w:t>
      </w:r>
    </w:p>
    <w:p>
      <w:r>
        <w:t>FR: ATF 140 III 193</w:t>
      </w:r>
    </w:p>
    <w:p>
      <w:r>
        <w:t>IT: DTF 140 III 193</w:t>
      </w:r>
    </w:p>
    <w:p>
      <w:pPr>
        <w:pStyle w:val="Heading2"/>
      </w:pPr>
      <w:r>
        <w:t>Regeste</w:t>
      </w:r>
    </w:p>
    <w:p>
      <w:r>
        <w:t>Regeste Art. 494 Abs. 3 ZGB; Schädigungsabsicht. Schliesst der Erbvertrag die Schenkungen nicht aus, so muss die Absicht des Erblassers, die Vertragserben zu schädigen, bewiesen werden. Eventualvorsatz genügt nicht (E. 2).</w:t>
      </w:r>
    </w:p>
    <w:p>
      <w:pPr>
        <w:pStyle w:val="Heading2"/>
      </w:pPr>
      <w:r>
        <w:t>Erwägungen</w:t>
      </w:r>
    </w:p>
    <w:p>
      <w:r>
        <w:rPr>
          <w:b/>
        </w:rPr>
        <w:t>E. 2</w:t>
      </w:r>
    </w:p>
    <w:p>
      <w:r>
        <w:t>Die Beschwerdegegner gründen ihren Anspruch auf Art. 494 Abs. 3 ZGB . Der Beschwerdeführer bestreitet, dass der Erblasser mit lebzeitigen Schenkungen an P. die erbvertraglichen Ansprüche der Beschwerdegegner verletzt habe. Im Verfahren vor Bundesgericht geht es indes nicht (mehr) um sämtliche lebzeitigen Schenkungen, sondern nur (noch) um diejenigen, welche die Beschwerdegegner in ihren der ersten Instanz unterbreiteten Rechtsbegehren Ziff. 3.2, 3.3 und 3.9 ansprechen.</w:t>
      </w:r>
    </w:p>
    <w:p>
      <w:r>
        <w:rPr>
          <w:b/>
        </w:rPr>
        <w:t>E. 2.1</w:t>
      </w:r>
    </w:p>
    <w:p>
      <w:r>
        <w:t>Wer sich durch einen Erbvertrag einem anderen gegenüber verpflichtet, ihm oder einem Dritten seine Erbschaft oder ein Vermächtnis zu hinterlassen ( Art. 494 Abs. 1 ZGB ), verliert grundsätzlich nicht das Recht, zu Lebzeiten frei über sein Vermögen zu verfügen ( Art. 494 Abs. 2 ZGB ). Insbesondere kann er sein Vermögen aufbrauchen. Verfügungen von Todes wegen oder Schenkungen, die mit den Verpflichtungen des Erblassers aus dem Erbvertrag nicht vereinbar sind, unterliegen jedoch der Anfechtung ( Art. 494 Abs. 3 ZGB ). Anfechtbar ist freilich nicht jede Schenkung. Nach der Rechtsprechung sind Schenkungen im Prinzip mit dem Erbvertrag vereinbar, soweit dieser nicht - explizit oder implizit - das Gegenteil vorsieht ( BGE 70 II 255 E. 2 S. 261 ff.). Fehlt es an einer entsprechenden Abrede, kann Art. 494 Abs. 3 ZGB dennoch zur Anwendung gelangen, wenn der Erblasser mit seinen Schenkungen offensichtlich beabsichtigt, seine Verpflichtungen aus dem Erbvertrag auszuhöhlen, was einem Rechtsmissbrauch ( Art. 2 Abs. 2 ZGB ) gleichkommt, oder den Erbvertragspartner zu schädigen (Urteil 5C.71/2001 vom 28. September 2001 E. 3b in fine). Ob und gegebenenfalls unter welchen Voraussetzungen das Pflichtteilsrecht eingreift ( Art. 527 ZGB ), braucht nicht weiter untersucht zu werden, denn eine Verletzung desselben steht hier unbestrittenermassen nicht zur Debatte.</w:t>
      </w:r>
    </w:p>
    <w:p>
      <w:r>
        <w:rPr>
          <w:b/>
        </w:rPr>
        <w:t>E. 2.2</w:t>
      </w:r>
    </w:p>
    <w:p>
      <w:r>
        <w:t>Das Obergericht stellt fest, der Erbvertrag vom 20. Februar 1986 enthalte weder ein explizites noch ein implizites BGE 140 III 193 S. 197 Schenkungsverbot. Gegenteiliges behaupten die Beschwerdegegner im Verfahren vor Bundesgericht nicht mehr. Mithin kommt eine Anfechtung der Schenkungen nur in Frage, wenn der Erblasser in Schädigungsabsicht gehandelt hat. Die Absicht des Erblassers, die Vertragserben zu schädigen, muss bewiesen werden. Die Beweislast tragen die anfechtenden Vertragserben ( Art. 8 ZGB ).</w:t>
      </w:r>
    </w:p>
    <w:p>
      <w:r>
        <w:rPr>
          <w:b/>
        </w:rPr>
        <w:t>E. 2.2.1</w:t>
      </w:r>
    </w:p>
    <w:p>
      <w:r>
        <w:t>Wie im bereits erwähnten Urteil 5C.71/2001 in E. 3b ausgeführt, ist für die Beurteilung der Schädigungsabsicht Art. 527 Ziff. 4 ZGB analog anzuwenden, das heisst die Absicht des Erblassers, seine vertraglichen Verpflichtungen zu umgehen, muss "offenbar" sein. Dies hat zur Folge, dass der Richter nur dann auf eine Schädigungsabsicht erkennen kann, wenn ihm dies mit voller Klarheit dargetan zu sein scheint. Es liegt darin eine gewisse Beschränkung des richterlichen Ermessens, ähnlich wie sie in Art. 2 Abs. 2 und Art. 720 Abs. 2 ZGB zum Ausdruck kommt (PETER TUOR, Berner Kommentar, 2. Aufl. 1952, N. 16 zu Art. 527 ZGB ). Die Schädigungsabsicht ist ein subjektives Kriterium. Es liegt aber in der Natur der Sache, dass das, was der Erblasser gewusst, was er gewollt hat, als innere Tatsache einem direkten Beweis nicht zugänglich ist, sondern sich direkt nur durch Parteiaussage, im Übrigen aber lediglich durch Folgerungen aus dem äusseren Verhalten einer Person oder anhand der Umstände beweisen lässt (MAX KUMMER, in: Berner Kommentar, 1962, N. 92 zu Art. 8 ZGB ; vgl. auch BGE 134 III 452 E. 4.1 S. 456). Als Indizien, die im Rahmen der Beurteilung der Schädigungsabsicht eine Rolle spielen können, kommen beispielsweise die Erheblichkeit der Schenkungen und die zeitlichen Umstände derselben in Frage. Ebenso darf berücksichtigt werden, ob der Erbvertrag entgeltlich oder unentgeltlich ist (Urteil 5C.71/2001 vom 28. September 2001 E. 3a und b; kritisch zum Ganzen EITEL/ELMIGER, Die Anfechtungsklage wegen Erbvertragswidrigkeit nach Art. 494 Abs. 3 ZGB , in: Verfahrensrecht am Beginn einer neueren Epoche, Festgabe zum Schweizerischen Juristentag 2011, 2011, S. 257 ff., insb. S. 269).</w:t>
      </w:r>
    </w:p>
    <w:p>
      <w:r>
        <w:rPr>
          <w:b/>
        </w:rPr>
        <w:t>E. 2.2.2</w:t>
      </w:r>
    </w:p>
    <w:p>
      <w:r>
        <w:t>Im vorliegenden Fall steht für das Bundesgericht verbindlich fest ( Art. 105 Abs. 1 BGG ), dass sich die lebzeitigen Schenkungen des Erblassers an P. einschliesslich der in Anrechnung auf den Vermächtnisanspruch überwiesenen Fr. 300'000.- (s. Sachverhalt Bst. A.b) auf rund Fr. 1,3 Mio. belaufen, dass die Beschwerdegegner vom Erblasser Vorempfänge im Wert von mindestens 2,72 Mio. Fr. BGE 140 III 193 S. 198 erhalten haben und dass sich der Gesamtwert (Vorempfänge, lebzeitige Zuwendungen, Nachlass) auf mindestens 5,12 Mio. Fr. beläuft. Damit bewegen sich die aktenkundigen Schenkungen an P. im Bereich von 25 Prozent der gesamten Vermögenswerte (1,3 Mio. Fr. / 5,12 Mio. Fr. ), was durchaus als erheblich bezeichnet werden kann. Ebenso geben die zeitlichen Verhältnisse (drei Transaktionen von knapp sechshunderttausend Franken innerhalb eines Jahres) Anlass zu Bedenken. Doch allein darauf kommt es nicht an.</w:t>
      </w:r>
    </w:p>
    <w:p>
      <w:r>
        <w:rPr>
          <w:b/>
        </w:rPr>
        <w:t>E. 2.3</w:t>
      </w:r>
    </w:p>
    <w:p>
      <w:r>
        <w:t>Das Regionalgericht kommt zum Schluss, den Beschwerdegegnern sei der Beweis der Schädigungsabsicht nicht gelungen. Hinsichtlich des auf P. lautenden Seniorensparkontos Nr. x der Bank S. (Rechtsbegehren Ziff. 3.2) hält es fest, aus der "auch nach durchgeführtem Beweisverfahren noch bestehenden Unsicherheit" könne jedenfalls nicht einfach in allgemeiner Weise auf eine Schädigungsabsicht des Erblassers geschlossen werden. Die Beschwerdegegner könnten keine weitere Darlegungen machen, die ihre Behauptungen erhärten respektive die von ihnen behauptete Schädigungsabsicht beweisen würden. Was die Kassenobligation Nr. y bei der Bank S. anbelangt, die per Todestag einen Wert von Fr. 151'748.55 aufwies (Rechtsbegehren Ziff. 3.3), konstatiert das Regionalgericht, das öffentliche Inventar weise diesen Betrag als Guthaben auf einem entsprechenden Konto von P. auf. Allerdings seien auch hierzu "die Umstände nahezu ungeklärt", und es bleibe mithin bei den Behauptungen der Beschwerdegegner. Ähnlich verhält es sich mit dem Darlehen an die Kurheim T. AG vom 11. Mai 2000 über Fr. 180'000.-, von dem die Beschwerdegegner die Hälfte des Saldos am Todestag, das heisst Fr. 87'481.05 zurückfordern (Rechtsbegehren Ziff. 3.9). Das Regionalgericht erachtet die genauen Zusammenhänge der Darlehensforderungen und insbesondere auch den Anlass, welcher der Gewährung der Darlehen zugrunde gelegen hat, als "ungeklärt". Allein die Tatsache, dass P. an der Darlehensforderung partizipiere, genügt seiner Meinung nach aber nicht, um "per se" von einer Schädigungsabsicht auszugehen. Nachvollziehbar sei auch, dass der Erblasser gegenüber Dritten nicht alleine, sondern mit seiner Frau als Ehepaar aufgetreten sei. Insbesondere das Darlehen an das Kurheim T. sei für das Gericht "nachvollziehbar" und lasse eine aktive Vorsorge für die anstehende Pflegesituation erkennen, nicht aber eine Schädigungsabsicht. Das Obergericht äussert sich nicht zu diesen tatsächlichen Erkenntnissen des Regionalgerichts. Es hält vielmehr für ausschlaggebend, BGE 140 III 193 S. 199 dass aktenkundige Transaktionen von knapp sechshunderttausend Franken innerhalb eines Jahres zu Gunsten des erbverzichtenden Ehepartners "unangemessen" seien, und folgert daraus, der Erblasser habe zumindest im Sinne eines Eventualvorsatzes eine Benachteiligungsabsicht gehabt. Das Obergericht stützt sich dabei auf BGE 128 III 314 E. 4 ab, in welchem das Bundesgericht für die Anwendung von Art. 527 Ziff. 4 ZGB Eventualvorsatz genügen lasse. Während es im dort beurteilten Fall um die Herabsetzung wegen einer Pflichtteilsverletzung ging, ist hier die Anfechtung lebzeitiger Zuwendungen im Sinne von Art. 494 Abs. 3 ZGB streitig, die als solche keine Pflichtteilsverletzung bewirken. Anders als bei der Pflichtteilsverletzung, wo sich die Absicht des Erblassers auf die quantitative Beeinträchtigung seines Nachlasses bezieht, steht hier die Schädigung der Vertragserben im Vordergrund. Für die diesbezügliche Absicht genügt die Annahme eines Eventualvorsatzes nicht. Indem das Obergericht auf den Beweis der Schädigungsabsicht verzichtet, stellt es sich in Widerspruch zum Bundesrecht. Aus den bereits vom Regionalgericht angeführten Gründen ist die Benachteiligungsabsicht des Erblassers hinsichtlich der drei fraglichen Transaktionen jedenfalls nicht "offenbar". Mithin lässt der Prozessstoff, so wie er sich dem Obergericht präsentierte und wie er auch für das Bundesgericht verbindlich ist ( Art. 105 Abs. 1 BGG ), gerade nicht den Schluss zu, dass die Beschwerdegegner Tatsachen dargetan haben, anhand derer eine Benachteiligungsabsicht des Erblassers in den erwähnten Fällen im oben beschriebenen Sinn mit aller Klarheit dargetan ist. Deshalb ist die Klage nach Art. 494 Abs. 3 ZGB im Ergebnis (auch) mit Bezug auf den Betrag von Fr. 260'200.- unbegründet, den die Beschwerdegegner vom Beschwerdeführer unter dem Titel der Rechtsbegehren Ziff. 3.2, 3.3 und 3.9 fordern. Die Klage ist abzuweisen.</w:t>
      </w:r>
    </w:p>
    <w:p>
      <w:r>
        <w:rPr>
          <w:b/>
        </w:rPr>
        <w:t>E. 2.4</w:t>
      </w:r>
    </w:p>
    <w:p>
      <w:r>
        <w:t>Bei diesem Ergebnis erübrigt sich eine Auseinandersetzung mit den weiteren vom Beschwerdeführer vorgetragenen Rügen. Namentlich braucht das Bundesgericht die Aktivlegitimation des Beschwerdegegners 6 (vgl. nicht publ. E. 1.2) nicht zu beurteilen. Auf die Beschwerde gegen den erwähnten Zwischenentscheid ist deshalb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